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ab/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eq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probiotic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Depending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availability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alfalfa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Timothy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shavings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buckets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cleaned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buckets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refilled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[00:00:30]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four-legged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Weather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permitting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summer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weather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care (Completed  07/12/23)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Jul 12, 2023 -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account/file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